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pStyle w:val="9"/>
        <w:keepNext w:val="0"/>
        <w:keepLines w:val="0"/>
        <w:pageBreakBefore w:val="0"/>
        <w:widowControl w:val="0"/>
        <w:kinsoku/>
        <w:wordWrap/>
        <w:overflowPunct/>
        <w:topLinePunct w:val="0"/>
        <w:autoSpaceDE/>
        <w:autoSpaceDN/>
        <w:bidi w:val="0"/>
        <w:adjustRightInd/>
        <w:snapToGrid/>
        <w:spacing w:before="0" w:beforeAutospacing="0" w:after="0" w:afterAutospacing="0" w:line="580" w:lineRule="exact"/>
        <w:ind w:right="0" w:firstLine="573"/>
        <w:jc w:val="both"/>
        <w:textAlignment w:val="auto"/>
        <w:rPr>
          <w:rFonts w:ascii="仿宋_GB2312" w:eastAsia="仿宋_GB2312"/>
          <w:b w:val="0"/>
          <w:sz w:val="28"/>
          <w:szCs w:val="28"/>
        </w:rPr>
      </w:pPr>
      <w:r>
        <w:rPr>
          <w:rFonts w:hint="eastAsia" w:ascii="仿宋_GB2312" w:eastAsia="仿宋_GB2312"/>
          <w:b w:val="0"/>
          <w:sz w:val="28"/>
          <w:szCs w:val="28"/>
        </w:rPr>
        <w:t>单位职责：研究大兴区促进京津冀协同发展改革工作；组织实施大兴区创新驱动发展战略，推动产业结构调整优化升级；组织协调大兴区非首都功能的疏解工作；组织协调大兴区承接中心城区功能工作。</w:t>
      </w:r>
    </w:p>
    <w:p>
      <w:pPr>
        <w:pStyle w:val="9"/>
        <w:keepNext w:val="0"/>
        <w:keepLines w:val="0"/>
        <w:pageBreakBefore w:val="0"/>
        <w:widowControl w:val="0"/>
        <w:kinsoku/>
        <w:wordWrap/>
        <w:overflowPunct/>
        <w:topLinePunct w:val="0"/>
        <w:autoSpaceDE/>
        <w:autoSpaceDN/>
        <w:bidi w:val="0"/>
        <w:adjustRightInd/>
        <w:snapToGrid/>
        <w:spacing w:before="0" w:beforeAutospacing="0" w:after="0" w:afterAutospacing="0" w:line="580" w:lineRule="exact"/>
        <w:ind w:right="0" w:firstLine="560" w:firstLineChars="200"/>
        <w:jc w:val="both"/>
        <w:textAlignment w:val="auto"/>
        <w:rPr>
          <w:rFonts w:hint="eastAsia" w:ascii="仿宋_GB2312" w:eastAsia="仿宋_GB2312"/>
          <w:b w:val="0"/>
          <w:sz w:val="28"/>
          <w:szCs w:val="28"/>
          <w:lang w:eastAsia="zh-CN"/>
        </w:rPr>
      </w:pPr>
      <w:r>
        <w:rPr>
          <w:rFonts w:hint="eastAsia" w:ascii="仿宋_GB2312" w:eastAsia="仿宋_GB2312"/>
          <w:b w:val="0"/>
          <w:sz w:val="28"/>
          <w:szCs w:val="28"/>
          <w:lang w:eastAsia="zh-CN"/>
        </w:rPr>
        <w:t>机构设置情况</w:t>
      </w:r>
      <w:r>
        <w:rPr>
          <w:rFonts w:hint="eastAsia" w:ascii="仿宋_GB2312" w:eastAsia="仿宋_GB2312"/>
          <w:b w:val="0"/>
          <w:sz w:val="28"/>
          <w:szCs w:val="28"/>
        </w:rPr>
        <w:t>：</w:t>
      </w:r>
      <w:r>
        <w:rPr>
          <w:rFonts w:hint="eastAsia" w:ascii="仿宋_GB2312" w:eastAsia="仿宋_GB2312"/>
          <w:b w:val="0"/>
          <w:sz w:val="28"/>
          <w:szCs w:val="28"/>
          <w:lang w:eastAsia="zh-CN"/>
        </w:rPr>
        <w:t>本单位设置有办公室和综合科两个科室。</w:t>
      </w:r>
    </w:p>
    <w:p>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193.53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50.74</w:t>
      </w:r>
      <w:r>
        <w:rPr>
          <w:rFonts w:hint="eastAsia" w:ascii="仿宋_GB2312" w:eastAsia="仿宋_GB2312"/>
          <w:sz w:val="28"/>
          <w:szCs w:val="28"/>
        </w:rPr>
        <w:t>万元，下降</w:t>
      </w:r>
      <w:r>
        <w:rPr>
          <w:rFonts w:hint="eastAsia" w:ascii="仿宋_GB2312" w:eastAsia="仿宋_GB2312"/>
          <w:sz w:val="28"/>
          <w:szCs w:val="28"/>
          <w:lang w:val="en-US" w:eastAsia="zh-CN"/>
        </w:rPr>
        <w:t>20.77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193.53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50.74</w:t>
      </w:r>
      <w:r>
        <w:rPr>
          <w:rFonts w:hint="eastAsia" w:ascii="仿宋_GB2312" w:eastAsia="仿宋_GB2312"/>
          <w:sz w:val="28"/>
          <w:szCs w:val="28"/>
        </w:rPr>
        <w:t>万元，下降</w:t>
      </w:r>
      <w:r>
        <w:rPr>
          <w:rFonts w:hint="eastAsia" w:ascii="仿宋_GB2312" w:eastAsia="仿宋_GB2312"/>
          <w:sz w:val="28"/>
          <w:szCs w:val="28"/>
          <w:lang w:val="en-US" w:eastAsia="zh-CN"/>
        </w:rPr>
        <w:t>20.77</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193.53</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193.53</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rPr>
          <w:rFonts w:hint="eastAsia"/>
          <w:lang w:val="en-US" w:eastAsia="zh-CN"/>
        </w:rPr>
        <w:drawing>
          <wp:inline distT="0" distB="0" distL="114300" distR="114300">
            <wp:extent cx="5476240" cy="3011170"/>
            <wp:effectExtent l="4445" t="4445" r="5715" b="13335"/>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193.53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50.74</w:t>
      </w:r>
      <w:r>
        <w:rPr>
          <w:rFonts w:hint="eastAsia" w:ascii="仿宋_GB2312" w:eastAsia="仿宋_GB2312"/>
          <w:sz w:val="28"/>
          <w:szCs w:val="28"/>
        </w:rPr>
        <w:t>万元，下降</w:t>
      </w:r>
      <w:r>
        <w:rPr>
          <w:rFonts w:hint="eastAsia" w:ascii="仿宋_GB2312" w:eastAsia="仿宋_GB2312"/>
          <w:sz w:val="28"/>
          <w:szCs w:val="28"/>
          <w:lang w:val="en-US" w:eastAsia="zh-CN"/>
        </w:rPr>
        <w:t>20.77</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193.53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100</w:t>
      </w:r>
      <w:r>
        <w:rPr>
          <w:rFonts w:hint="eastAsia" w:ascii="仿宋_GB2312" w:eastAsia="仿宋_GB2312"/>
          <w:sz w:val="28"/>
          <w:szCs w:val="28"/>
          <w:highlight w:val="none"/>
        </w:rPr>
        <w:t>%；项目支出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4816" w:firstLineChars="1505"/>
        <w:jc w:val="both"/>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hint="eastAsia" w:ascii="黑体" w:eastAsia="黑体"/>
          <w:b/>
          <w:sz w:val="28"/>
          <w:szCs w:val="28"/>
          <w:lang w:eastAsia="zh-CN"/>
        </w:rPr>
        <w:drawing>
          <wp:inline distT="0" distB="0" distL="114300" distR="114300">
            <wp:extent cx="5213985" cy="2847340"/>
            <wp:effectExtent l="4445" t="4445" r="20320" b="5715"/>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keepNext w:val="0"/>
        <w:keepLines w:val="0"/>
        <w:pageBreakBefore w:val="0"/>
        <w:widowControl w:val="0"/>
        <w:tabs>
          <w:tab w:val="center" w:pos="6979"/>
        </w:tabs>
        <w:kinsoku/>
        <w:wordWrap/>
        <w:overflowPunct/>
        <w:topLinePunct w:val="0"/>
        <w:bidi w:val="0"/>
        <w:snapToGrid/>
        <w:spacing w:line="580" w:lineRule="exact"/>
        <w:ind w:firstLine="548" w:firstLineChars="196"/>
        <w:textAlignment w:val="auto"/>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keepNext w:val="0"/>
        <w:keepLines w:val="0"/>
        <w:pageBreakBefore w:val="0"/>
        <w:widowControl w:val="0"/>
        <w:tabs>
          <w:tab w:val="center" w:pos="6979"/>
        </w:tabs>
        <w:kinsoku/>
        <w:wordWrap/>
        <w:overflowPunct/>
        <w:topLinePunct w:val="0"/>
        <w:bidi w:val="0"/>
        <w:snapToGrid/>
        <w:spacing w:line="580" w:lineRule="exact"/>
        <w:ind w:firstLine="57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193.53</w:t>
      </w:r>
      <w:r>
        <w:rPr>
          <w:rFonts w:hint="eastAsia" w:ascii="仿宋_GB2312" w:eastAsia="仿宋_GB2312"/>
          <w:sz w:val="28"/>
          <w:szCs w:val="28"/>
        </w:rPr>
        <w:t>万元，比上年减少</w:t>
      </w:r>
      <w:r>
        <w:rPr>
          <w:rFonts w:hint="eastAsia" w:ascii="仿宋_GB2312" w:eastAsia="仿宋_GB2312"/>
          <w:sz w:val="28"/>
          <w:szCs w:val="28"/>
          <w:lang w:val="en-US" w:eastAsia="zh-CN"/>
        </w:rPr>
        <w:t>50.74</w:t>
      </w:r>
      <w:r>
        <w:rPr>
          <w:rFonts w:hint="eastAsia" w:ascii="仿宋_GB2312" w:eastAsia="仿宋_GB2312"/>
          <w:sz w:val="28"/>
          <w:szCs w:val="28"/>
        </w:rPr>
        <w:t>万元，下降</w:t>
      </w:r>
      <w:r>
        <w:rPr>
          <w:rFonts w:hint="eastAsia" w:ascii="仿宋_GB2312" w:eastAsia="仿宋_GB2312"/>
          <w:sz w:val="28"/>
          <w:szCs w:val="28"/>
          <w:lang w:val="en-US" w:eastAsia="zh-CN"/>
        </w:rPr>
        <w:t>20.77</w:t>
      </w:r>
      <w:r>
        <w:rPr>
          <w:rFonts w:hint="eastAsia" w:ascii="仿宋_GB2312" w:eastAsia="仿宋_GB2312"/>
          <w:sz w:val="28"/>
          <w:szCs w:val="28"/>
        </w:rPr>
        <w:t>%。主要原因：</w:t>
      </w:r>
      <w:r>
        <w:rPr>
          <w:rFonts w:hint="eastAsia" w:ascii="仿宋_GB2312" w:eastAsia="仿宋_GB2312"/>
          <w:sz w:val="28"/>
          <w:szCs w:val="28"/>
          <w:lang w:eastAsia="zh-CN"/>
        </w:rPr>
        <w:t>人员变化</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bidi w:val="0"/>
        <w:snapToGrid/>
        <w:spacing w:line="580" w:lineRule="exact"/>
        <w:ind w:firstLine="548" w:firstLineChars="196"/>
        <w:textAlignment w:val="auto"/>
        <w:rPr>
          <w:rFonts w:hint="eastAsia" w:ascii="黑体" w:eastAsia="黑体"/>
          <w:b/>
          <w:sz w:val="28"/>
          <w:szCs w:val="28"/>
        </w:rPr>
      </w:pPr>
      <w:r>
        <w:rPr>
          <w:rFonts w:hint="eastAsia" w:ascii="黑体" w:eastAsia="黑体"/>
          <w:b/>
          <w:sz w:val="28"/>
          <w:szCs w:val="28"/>
        </w:rPr>
        <w:t>四、一般公共预算财政拨款支出决算情况说明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193.53</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157.50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81.38</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20.37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10.53</w:t>
      </w:r>
      <w:r>
        <w:rPr>
          <w:rFonts w:hint="eastAsia" w:ascii="仿宋_GB2312" w:eastAsia="仿宋_GB2312"/>
          <w:sz w:val="28"/>
          <w:szCs w:val="28"/>
        </w:rPr>
        <w:t>%；</w:t>
      </w:r>
      <w:r>
        <w:rPr>
          <w:rFonts w:hint="eastAsia" w:ascii="仿宋_GB2312" w:eastAsia="仿宋_GB2312"/>
          <w:sz w:val="28"/>
          <w:szCs w:val="28"/>
          <w:lang w:eastAsia="zh-CN"/>
        </w:rPr>
        <w:t>卫生健康</w:t>
      </w:r>
      <w:r>
        <w:rPr>
          <w:rFonts w:hint="eastAsia" w:ascii="仿宋_GB2312" w:eastAsia="仿宋_GB2312"/>
          <w:sz w:val="28"/>
          <w:szCs w:val="28"/>
          <w:lang w:val="en-US" w:eastAsia="zh-CN"/>
        </w:rPr>
        <w:t>支出15.66万元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8.09</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174.13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157.50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90.45</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jc w:val="left"/>
        <w:textAlignment w:val="auto"/>
        <w:rPr>
          <w:rFonts w:hint="eastAsia" w:ascii="仿宋_GB2312" w:eastAsia="仿宋_GB2312"/>
          <w:sz w:val="28"/>
          <w:szCs w:val="28"/>
        </w:rPr>
      </w:pP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发展与改革事务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174.13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157.50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90.45</w:t>
      </w:r>
      <w:r>
        <w:rPr>
          <w:rFonts w:hint="eastAsia" w:ascii="仿宋_GB2312" w:eastAsia="仿宋_GB2312"/>
          <w:sz w:val="28"/>
          <w:szCs w:val="28"/>
        </w:rPr>
        <w:t>%。主要原因：</w:t>
      </w:r>
      <w:r>
        <w:rPr>
          <w:rFonts w:hint="eastAsia" w:ascii="仿宋_GB2312" w:eastAsia="仿宋_GB2312"/>
          <w:sz w:val="28"/>
          <w:szCs w:val="28"/>
          <w:lang w:eastAsia="zh-CN"/>
        </w:rPr>
        <w:t>人员变化</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22.20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20.37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91.76</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22.20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20.37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91.76</w:t>
      </w:r>
      <w:r>
        <w:rPr>
          <w:rFonts w:hint="eastAsia" w:ascii="仿宋_GB2312" w:eastAsia="仿宋_GB2312"/>
          <w:sz w:val="28"/>
          <w:szCs w:val="28"/>
        </w:rPr>
        <w:t>%。主要原因：</w:t>
      </w:r>
      <w:r>
        <w:rPr>
          <w:rFonts w:hint="eastAsia" w:ascii="仿宋_GB2312" w:eastAsia="仿宋_GB2312"/>
          <w:sz w:val="28"/>
          <w:szCs w:val="28"/>
          <w:lang w:eastAsia="zh-CN"/>
        </w:rPr>
        <w:t>人员变化。</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15.93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15.66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98.31</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15.93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15.66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98.31</w:t>
      </w:r>
      <w:r>
        <w:rPr>
          <w:rFonts w:hint="eastAsia" w:ascii="仿宋_GB2312" w:eastAsia="仿宋_GB2312"/>
          <w:sz w:val="28"/>
          <w:szCs w:val="28"/>
        </w:rPr>
        <w:t>%。主要原因：</w:t>
      </w:r>
      <w:r>
        <w:rPr>
          <w:rFonts w:hint="eastAsia" w:ascii="仿宋_GB2312" w:eastAsia="仿宋_GB2312"/>
          <w:sz w:val="28"/>
          <w:szCs w:val="28"/>
          <w:lang w:eastAsia="zh-CN"/>
        </w:rPr>
        <w:t>人员变化。</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黑体" w:eastAsia="黑体"/>
          <w:b/>
          <w:sz w:val="28"/>
          <w:szCs w:val="28"/>
        </w:rPr>
        <w:t>五、政府性基金预算财政拨款支出决算情况说明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keepNext w:val="0"/>
        <w:keepLines w:val="0"/>
        <w:pageBreakBefore w:val="0"/>
        <w:widowControl w:val="0"/>
        <w:kinsoku/>
        <w:wordWrap/>
        <w:overflowPunct/>
        <w:topLinePunct w:val="0"/>
        <w:bidi w:val="0"/>
        <w:snapToGrid/>
        <w:spacing w:line="580" w:lineRule="exact"/>
        <w:ind w:firstLine="537" w:firstLineChars="192"/>
        <w:textAlignment w:val="auto"/>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keepNext w:val="0"/>
        <w:keepLines w:val="0"/>
        <w:pageBreakBefore w:val="0"/>
        <w:widowControl w:val="0"/>
        <w:kinsoku/>
        <w:wordWrap/>
        <w:overflowPunct/>
        <w:topLinePunct w:val="0"/>
        <w:bidi w:val="0"/>
        <w:snapToGrid/>
        <w:spacing w:line="580" w:lineRule="exact"/>
        <w:ind w:firstLine="548" w:firstLineChars="196"/>
        <w:textAlignment w:val="auto"/>
        <w:rPr>
          <w:rFonts w:hint="eastAsia" w:ascii="黑体" w:eastAsia="黑体"/>
          <w:sz w:val="28"/>
          <w:szCs w:val="28"/>
        </w:rPr>
      </w:pPr>
      <w:r>
        <w:rPr>
          <w:rFonts w:hint="eastAsia" w:ascii="黑体" w:eastAsia="黑体"/>
          <w:b/>
          <w:sz w:val="28"/>
          <w:szCs w:val="28"/>
        </w:rPr>
        <w:t>七、财政拨款基本支出决算情况说明</w:t>
      </w:r>
    </w:p>
    <w:p>
      <w:pPr>
        <w:keepNext w:val="0"/>
        <w:keepLines w:val="0"/>
        <w:pageBreakBefore w:val="0"/>
        <w:widowControl w:val="0"/>
        <w:tabs>
          <w:tab w:val="center" w:pos="6979"/>
        </w:tabs>
        <w:kinsoku/>
        <w:wordWrap/>
        <w:overflowPunct/>
        <w:topLinePunct w:val="0"/>
        <w:bidi w:val="0"/>
        <w:snapToGrid/>
        <w:spacing w:line="580" w:lineRule="exact"/>
        <w:ind w:firstLine="548" w:firstLineChars="196"/>
        <w:textAlignment w:val="auto"/>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193.53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其中：</w:t>
      </w:r>
      <w:r>
        <w:rPr>
          <w:rFonts w:hint="eastAsia" w:ascii="仿宋_GB2312" w:eastAsia="仿宋_GB2312"/>
          <w:sz w:val="28"/>
          <w:szCs w:val="28"/>
        </w:rPr>
        <w:t>（1）工资福利支出包括基本工资</w:t>
      </w:r>
      <w:r>
        <w:rPr>
          <w:rFonts w:ascii="仿宋_GB2312" w:eastAsia="仿宋_GB2312"/>
          <w:sz w:val="28"/>
          <w:szCs w:val="28"/>
        </w:rPr>
        <w:t>、津贴补贴、绩效工资、</w:t>
      </w:r>
      <w:r>
        <w:rPr>
          <w:rFonts w:hint="eastAsia" w:ascii="仿宋_GB2312" w:eastAsia="仿宋_GB2312"/>
          <w:sz w:val="28"/>
          <w:szCs w:val="28"/>
          <w:lang w:eastAsia="zh-CN"/>
        </w:rPr>
        <w:t>机关事业单位基本养老保险缴费、职业年金缴费、职工基本医疗保险缴费、公务员医疗补助缴费、</w:t>
      </w:r>
      <w:r>
        <w:rPr>
          <w:rFonts w:hint="eastAsia" w:ascii="仿宋_GB2312" w:eastAsia="仿宋_GB2312"/>
          <w:color w:val="000000" w:themeColor="text1"/>
          <w:sz w:val="28"/>
          <w:szCs w:val="28"/>
          <w14:textFill>
            <w14:solidFill>
              <w14:schemeClr w14:val="tx1"/>
            </w14:solidFill>
          </w14:textFill>
        </w:rPr>
        <w:t>其他</w:t>
      </w:r>
      <w:r>
        <w:rPr>
          <w:rFonts w:ascii="仿宋_GB2312" w:eastAsia="仿宋_GB2312"/>
          <w:color w:val="000000" w:themeColor="text1"/>
          <w:sz w:val="28"/>
          <w:szCs w:val="28"/>
          <w14:textFill>
            <w14:solidFill>
              <w14:schemeClr w14:val="tx1"/>
            </w14:solidFill>
          </w14:textFill>
        </w:rPr>
        <w:t>社会保障缴费、</w:t>
      </w:r>
      <w:r>
        <w:rPr>
          <w:rFonts w:hint="eastAsia" w:ascii="仿宋_GB2312" w:eastAsia="仿宋_GB2312"/>
          <w:color w:val="000000" w:themeColor="text1"/>
          <w:sz w:val="28"/>
          <w:szCs w:val="28"/>
          <w:lang w:eastAsia="zh-CN"/>
          <w14:textFill>
            <w14:solidFill>
              <w14:schemeClr w14:val="tx1"/>
            </w14:solidFill>
          </w14:textFill>
        </w:rPr>
        <w:t>住房公积金</w:t>
      </w:r>
      <w:r>
        <w:rPr>
          <w:rFonts w:hint="eastAsia" w:ascii="仿宋_GB2312" w:eastAsia="仿宋_GB2312"/>
          <w:color w:val="000000" w:themeColor="text1"/>
          <w:sz w:val="28"/>
          <w:szCs w:val="28"/>
          <w14:textFill>
            <w14:solidFill>
              <w14:schemeClr w14:val="tx1"/>
            </w14:solidFill>
          </w14:textFill>
        </w:rPr>
        <w:t>等</w:t>
      </w:r>
      <w:r>
        <w:rPr>
          <w:rFonts w:ascii="仿宋_GB2312" w:eastAsia="仿宋_GB2312"/>
          <w:color w:val="000000" w:themeColor="text1"/>
          <w:sz w:val="28"/>
          <w:szCs w:val="28"/>
          <w14:textFill>
            <w14:solidFill>
              <w14:schemeClr w14:val="tx1"/>
            </w14:solidFill>
          </w14:textFill>
        </w:rPr>
        <w:t>支出</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sz w:val="28"/>
          <w:szCs w:val="28"/>
        </w:rPr>
        <w:t>（2）商品和服务支出包括</w:t>
      </w:r>
      <w:r>
        <w:rPr>
          <w:rFonts w:ascii="仿宋_GB2312" w:eastAsia="仿宋_GB2312"/>
          <w:sz w:val="28"/>
          <w:szCs w:val="28"/>
        </w:rPr>
        <w:t>办公费、工会经费、福利费、公务用车运行维护费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w:t>
      </w:r>
      <w:r>
        <w:rPr>
          <w:rFonts w:hint="eastAsia" w:ascii="仿宋_GB2312" w:eastAsia="仿宋_GB2312"/>
          <w:sz w:val="28"/>
          <w:szCs w:val="28"/>
          <w:lang w:eastAsia="zh-CN"/>
        </w:rPr>
        <w:t>包括</w:t>
      </w:r>
      <w:r>
        <w:rPr>
          <w:rFonts w:ascii="仿宋_GB2312" w:eastAsia="仿宋_GB2312"/>
          <w:sz w:val="28"/>
          <w:szCs w:val="28"/>
        </w:rPr>
        <w:t>奖励金支出</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jc w:val="both"/>
        <w:textAlignment w:val="auto"/>
        <w:rPr>
          <w:rFonts w:hint="eastAsia" w:ascii="宋体" w:hAnsi="宋体"/>
          <w:b/>
          <w:spacing w:val="40"/>
          <w:sz w:val="32"/>
          <w:szCs w:val="32"/>
        </w:rPr>
      </w:pPr>
      <w:r>
        <w:rPr>
          <w:rFonts w:ascii="仿宋_GB2312" w:eastAsia="仿宋_GB2312"/>
          <w:b/>
          <w:sz w:val="32"/>
          <w:szCs w:val="32"/>
        </w:rPr>
        <w:tab/>
      </w:r>
    </w:p>
    <w:p>
      <w:pPr>
        <w:keepNext w:val="0"/>
        <w:keepLines w:val="0"/>
        <w:pageBreakBefore w:val="0"/>
        <w:widowControl w:val="0"/>
        <w:tabs>
          <w:tab w:val="center" w:pos="6979"/>
        </w:tabs>
        <w:kinsoku/>
        <w:wordWrap/>
        <w:overflowPunct/>
        <w:topLinePunct w:val="0"/>
        <w:bidi w:val="0"/>
        <w:snapToGrid/>
        <w:spacing w:line="580" w:lineRule="exact"/>
        <w:jc w:val="center"/>
        <w:textAlignment w:val="auto"/>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jc w:val="center"/>
        <w:textAlignment w:val="auto"/>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eastAsia="黑体"/>
          <w:sz w:val="28"/>
          <w:szCs w:val="28"/>
        </w:rPr>
      </w:pPr>
      <w:r>
        <w:rPr>
          <w:rFonts w:hint="eastAsia" w:ascii="黑体" w:eastAsia="黑体"/>
          <w:sz w:val="28"/>
          <w:szCs w:val="28"/>
        </w:rPr>
        <w:t>一、“三公”经费财政拨款决算情况</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0.54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1.88</w:t>
      </w:r>
      <w:r>
        <w:rPr>
          <w:rFonts w:hint="eastAsia" w:ascii="仿宋_GB2312" w:eastAsia="仿宋_GB2312"/>
          <w:sz w:val="28"/>
          <w:szCs w:val="28"/>
        </w:rPr>
        <w:t>万元减少</w:t>
      </w:r>
      <w:r>
        <w:rPr>
          <w:rFonts w:hint="eastAsia" w:ascii="仿宋_GB2312" w:eastAsia="仿宋_GB2312"/>
          <w:sz w:val="28"/>
          <w:szCs w:val="28"/>
          <w:lang w:val="en-US" w:eastAsia="zh-CN"/>
        </w:rPr>
        <w:t>1.34</w:t>
      </w:r>
      <w:r>
        <w:rPr>
          <w:rFonts w:hint="eastAsia" w:ascii="仿宋_GB2312" w:eastAsia="仿宋_GB2312"/>
          <w:sz w:val="28"/>
          <w:szCs w:val="28"/>
        </w:rPr>
        <w:t>万元。其中：</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keepNext w:val="0"/>
        <w:keepLines w:val="0"/>
        <w:pageBreakBefore w:val="0"/>
        <w:widowControl w:val="0"/>
        <w:kinsoku/>
        <w:wordWrap/>
        <w:overflowPunct/>
        <w:topLinePunct w:val="0"/>
        <w:autoSpaceDE/>
        <w:autoSpaceDN/>
        <w:bidi w:val="0"/>
        <w:adjustRightInd/>
        <w:snapToGrid/>
        <w:spacing w:line="580" w:lineRule="exact"/>
        <w:ind w:firstLine="600"/>
        <w:textAlignment w:val="auto"/>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0.08</w:t>
      </w:r>
      <w:r>
        <w:rPr>
          <w:rFonts w:hint="eastAsia" w:ascii="仿宋_GB2312" w:eastAsia="仿宋_GB2312"/>
          <w:sz w:val="28"/>
          <w:szCs w:val="28"/>
        </w:rPr>
        <w:t>万元减少</w:t>
      </w:r>
      <w:r>
        <w:rPr>
          <w:rFonts w:hint="eastAsia" w:ascii="仿宋_GB2312" w:eastAsia="仿宋_GB2312"/>
          <w:sz w:val="28"/>
          <w:szCs w:val="28"/>
          <w:lang w:val="en-US" w:eastAsia="zh-CN"/>
        </w:rPr>
        <w:t>0.08</w:t>
      </w:r>
      <w:r>
        <w:rPr>
          <w:rFonts w:hint="eastAsia" w:ascii="仿宋_GB2312" w:eastAsia="仿宋_GB2312"/>
          <w:sz w:val="28"/>
          <w:szCs w:val="28"/>
        </w:rPr>
        <w:t>万元。主要原因：</w:t>
      </w:r>
      <w:r>
        <w:rPr>
          <w:rFonts w:hint="eastAsia" w:ascii="仿宋_GB2312" w:eastAsia="仿宋_GB2312"/>
          <w:sz w:val="28"/>
          <w:szCs w:val="28"/>
          <w:lang w:eastAsia="zh-CN"/>
        </w:rPr>
        <w:t>落实政府过紧日子要求，严控公务接待规模</w:t>
      </w:r>
      <w:bookmarkStart w:id="0" w:name="_GoBack"/>
      <w:bookmarkEnd w:id="0"/>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0.54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1.80</w:t>
      </w:r>
      <w:r>
        <w:rPr>
          <w:rFonts w:hint="eastAsia" w:ascii="仿宋_GB2312" w:eastAsia="仿宋_GB2312"/>
          <w:sz w:val="28"/>
          <w:szCs w:val="28"/>
        </w:rPr>
        <w:t>万元减少</w:t>
      </w:r>
      <w:r>
        <w:rPr>
          <w:rFonts w:hint="eastAsia" w:ascii="仿宋_GB2312" w:eastAsia="仿宋_GB2312"/>
          <w:sz w:val="28"/>
          <w:szCs w:val="28"/>
          <w:lang w:val="en-US" w:eastAsia="zh-CN"/>
        </w:rPr>
        <w:t>1.26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0.54</w:t>
      </w:r>
      <w:r>
        <w:rPr>
          <w:rFonts w:hint="eastAsia" w:ascii="仿宋_GB2312" w:eastAsia="仿宋_GB2312"/>
          <w:sz w:val="28"/>
          <w:szCs w:val="28"/>
        </w:rPr>
        <w:t>万元，主要原因：</w:t>
      </w:r>
      <w:r>
        <w:rPr>
          <w:rFonts w:hint="eastAsia" w:ascii="仿宋_GB2312" w:eastAsia="仿宋_GB2312"/>
          <w:sz w:val="28"/>
          <w:szCs w:val="28"/>
          <w:lang w:eastAsia="zh-CN"/>
        </w:rPr>
        <w:t>倡导节能减排、低碳出行</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54" w:firstLineChars="198"/>
        <w:textAlignment w:val="auto"/>
        <w:rPr>
          <w:rFonts w:hint="eastAsia" w:ascii="黑体" w:eastAsia="黑体"/>
          <w:sz w:val="28"/>
          <w:szCs w:val="28"/>
        </w:rPr>
      </w:pPr>
      <w:r>
        <w:rPr>
          <w:rFonts w:hint="eastAsia" w:ascii="黑体" w:eastAsia="黑体"/>
          <w:sz w:val="28"/>
          <w:szCs w:val="28"/>
        </w:rPr>
        <w:t>二、机关运行经费支出情况</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0</w:t>
      </w:r>
      <w:r>
        <w:rPr>
          <w:rFonts w:hint="eastAsia" w:ascii="仿宋_GB2312" w:eastAsia="仿宋_GB2312"/>
          <w:sz w:val="28"/>
          <w:szCs w:val="28"/>
        </w:rPr>
        <w:t>万元，比上年</w:t>
      </w:r>
      <w:r>
        <w:rPr>
          <w:rFonts w:hint="eastAsia" w:ascii="仿宋_GB2312" w:eastAsia="仿宋_GB2312"/>
          <w:sz w:val="28"/>
          <w:szCs w:val="28"/>
          <w:lang w:eastAsia="zh-CN"/>
        </w:rPr>
        <w:t>无变化</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left="540"/>
        <w:textAlignment w:val="auto"/>
        <w:rPr>
          <w:rFonts w:hint="eastAsia" w:ascii="黑体" w:eastAsia="黑体"/>
          <w:sz w:val="28"/>
          <w:szCs w:val="28"/>
        </w:rPr>
      </w:pPr>
      <w:r>
        <w:rPr>
          <w:rFonts w:hint="eastAsia" w:ascii="黑体" w:eastAsia="黑体"/>
          <w:sz w:val="28"/>
          <w:szCs w:val="28"/>
        </w:rPr>
        <w:t>三、政府采购支出情况</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1.44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0.97</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0.00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0.47</w:t>
      </w:r>
      <w:r>
        <w:rPr>
          <w:rFonts w:hint="eastAsia" w:ascii="仿宋_GB2312" w:eastAsia="仿宋_GB2312"/>
          <w:sz w:val="28"/>
          <w:szCs w:val="28"/>
        </w:rPr>
        <w:t>万元。授予中小企业合同金额</w:t>
      </w:r>
      <w:r>
        <w:rPr>
          <w:rFonts w:ascii="仿宋_GB2312" w:eastAsia="仿宋_GB2312"/>
          <w:sz w:val="28"/>
          <w:szCs w:val="28"/>
        </w:rPr>
        <w:t>1.31</w:t>
      </w:r>
      <w:r>
        <w:rPr>
          <w:rFonts w:hint="eastAsia" w:ascii="仿宋_GB2312" w:eastAsia="仿宋_GB2312"/>
          <w:sz w:val="28"/>
          <w:szCs w:val="28"/>
        </w:rPr>
        <w:t>万元，占政府采购支出总额的</w:t>
      </w:r>
      <w:r>
        <w:rPr>
          <w:rFonts w:hint="eastAsia" w:ascii="仿宋_GB2312" w:eastAsia="仿宋_GB2312"/>
          <w:sz w:val="28"/>
          <w:szCs w:val="28"/>
          <w:lang w:eastAsia="zh-CN"/>
        </w:rPr>
        <w:t>90.9</w:t>
      </w:r>
      <w:r>
        <w:rPr>
          <w:rFonts w:hint="eastAsia" w:ascii="仿宋_GB2312" w:eastAsia="仿宋_GB2312"/>
          <w:sz w:val="28"/>
          <w:szCs w:val="28"/>
          <w:lang w:val="en-US" w:eastAsia="zh-CN"/>
        </w:rPr>
        <w:t>7</w:t>
      </w:r>
      <w:r>
        <w:rPr>
          <w:rFonts w:hint="eastAsia" w:ascii="仿宋_GB2312" w:eastAsia="仿宋_GB2312"/>
          <w:sz w:val="28"/>
          <w:szCs w:val="28"/>
        </w:rPr>
        <w:t>%，其中：授予小微企业合同金额</w:t>
      </w:r>
      <w:r>
        <w:rPr>
          <w:rFonts w:ascii="仿宋_GB2312" w:eastAsia="仿宋_GB2312"/>
          <w:sz w:val="28"/>
          <w:szCs w:val="28"/>
        </w:rPr>
        <w:t>0.97</w:t>
      </w:r>
      <w:r>
        <w:rPr>
          <w:rFonts w:hint="eastAsia" w:ascii="仿宋_GB2312" w:eastAsia="仿宋_GB2312"/>
          <w:sz w:val="28"/>
          <w:szCs w:val="28"/>
        </w:rPr>
        <w:t>万元，占政府采购支出总额的</w:t>
      </w:r>
      <w:r>
        <w:rPr>
          <w:rFonts w:ascii="仿宋_GB2312" w:eastAsia="仿宋_GB2312"/>
          <w:sz w:val="28"/>
          <w:szCs w:val="28"/>
        </w:rPr>
        <w:t>67.</w:t>
      </w:r>
      <w:r>
        <w:rPr>
          <w:rFonts w:hint="eastAsia" w:ascii="仿宋_GB2312" w:eastAsia="仿宋_GB2312"/>
          <w:sz w:val="28"/>
          <w:szCs w:val="28"/>
          <w:lang w:val="en-US" w:eastAsia="zh-CN"/>
        </w:rPr>
        <w:t>36</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eastAsia="黑体"/>
          <w:sz w:val="28"/>
          <w:szCs w:val="28"/>
          <w:highlight w:val="yellow"/>
        </w:rPr>
      </w:pPr>
      <w:r>
        <w:rPr>
          <w:rFonts w:hint="eastAsia" w:ascii="黑体" w:eastAsia="黑体"/>
          <w:sz w:val="28"/>
          <w:szCs w:val="28"/>
          <w:highlight w:val="none"/>
        </w:rPr>
        <w:t>四、国有资产占用情况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12月31日，北京市大兴区京津冀协同服务中心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keepNext w:val="0"/>
        <w:keepLines w:val="0"/>
        <w:pageBreakBefore w:val="0"/>
        <w:widowControl w:val="0"/>
        <w:kinsoku/>
        <w:wordWrap/>
        <w:overflowPunct/>
        <w:topLinePunct w:val="0"/>
        <w:autoSpaceDE/>
        <w:autoSpaceDN/>
        <w:bidi w:val="0"/>
        <w:adjustRightInd/>
        <w:snapToGrid/>
        <w:spacing w:line="580" w:lineRule="exact"/>
        <w:ind w:firstLine="537" w:firstLineChars="192"/>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left"/>
        <w:textAlignment w:val="auto"/>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lang w:eastAsia="zh-CN"/>
        </w:rPr>
        <w:t>一般公共服务支出</w:t>
      </w:r>
      <w:r>
        <w:rPr>
          <w:rFonts w:hint="eastAsia" w:ascii="仿宋_GB2312" w:eastAsia="仿宋_GB2312"/>
          <w:sz w:val="28"/>
          <w:szCs w:val="28"/>
        </w:rPr>
        <w:t>（类）</w:t>
      </w:r>
      <w:r>
        <w:rPr>
          <w:rFonts w:hint="eastAsia" w:ascii="仿宋_GB2312" w:eastAsia="仿宋_GB2312"/>
          <w:sz w:val="28"/>
          <w:szCs w:val="28"/>
          <w:lang w:eastAsia="zh-CN"/>
        </w:rPr>
        <w:t>发展与改革事务</w:t>
      </w:r>
      <w:r>
        <w:rPr>
          <w:rFonts w:hint="eastAsia" w:ascii="仿宋_GB2312" w:eastAsia="仿宋_GB2312"/>
          <w:sz w:val="28"/>
          <w:szCs w:val="28"/>
        </w:rPr>
        <w:t>（款）</w:t>
      </w:r>
      <w:r>
        <w:rPr>
          <w:rFonts w:hint="eastAsia" w:ascii="仿宋_GB2312" w:eastAsia="仿宋_GB2312"/>
          <w:sz w:val="28"/>
          <w:szCs w:val="28"/>
          <w:lang w:eastAsia="zh-CN"/>
        </w:rPr>
        <w:t>事业运行</w:t>
      </w:r>
      <w:r>
        <w:rPr>
          <w:rFonts w:hint="eastAsia" w:ascii="仿宋_GB2312" w:eastAsia="仿宋_GB2312"/>
          <w:sz w:val="28"/>
          <w:szCs w:val="28"/>
        </w:rPr>
        <w:t>（项）：反映</w:t>
      </w:r>
      <w:r>
        <w:rPr>
          <w:rFonts w:hint="eastAsia" w:ascii="仿宋_GB2312" w:eastAsia="仿宋_GB2312"/>
          <w:sz w:val="28"/>
          <w:szCs w:val="28"/>
          <w:lang w:eastAsia="zh-CN"/>
        </w:rPr>
        <w:t>用于事业单位的基本支出</w:t>
      </w:r>
      <w:r>
        <w:rPr>
          <w:rFonts w:hint="eastAsia" w:ascii="仿宋_GB2312" w:eastAsia="仿宋_GB2312"/>
          <w:sz w:val="28"/>
          <w:szCs w:val="28"/>
          <w:lang w:val="en-US" w:eastAsia="zh-CN"/>
        </w:rPr>
        <w:t>,不包括行政单位(包括实行公务员管理的事业单位)后勤服务中心、医务室等附属事业单位</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w:t>
      </w:r>
      <w:r>
        <w:rPr>
          <w:rFonts w:hint="eastAsia" w:ascii="仿宋_GB2312" w:eastAsia="仿宋_GB2312"/>
          <w:sz w:val="28"/>
          <w:szCs w:val="28"/>
        </w:rPr>
        <w:t>单位离退休（项）</w:t>
      </w:r>
      <w:r>
        <w:rPr>
          <w:rFonts w:hint="eastAsia" w:ascii="仿宋_GB2312" w:eastAsia="仿宋_GB2312"/>
          <w:sz w:val="28"/>
          <w:szCs w:val="28"/>
          <w:lang w:eastAsia="zh-CN"/>
        </w:rPr>
        <w:t>：</w:t>
      </w:r>
      <w:r>
        <w:rPr>
          <w:rFonts w:hint="eastAsia" w:ascii="仿宋_GB2312" w:eastAsia="仿宋_GB2312"/>
          <w:sz w:val="28"/>
          <w:szCs w:val="28"/>
        </w:rPr>
        <w:t>反映用于</w:t>
      </w:r>
      <w:r>
        <w:rPr>
          <w:rFonts w:hint="eastAsia" w:ascii="仿宋_GB2312" w:eastAsia="仿宋_GB2312"/>
          <w:sz w:val="28"/>
          <w:szCs w:val="28"/>
          <w:lang w:eastAsia="zh-CN"/>
        </w:rPr>
        <w:t>事业单位</w:t>
      </w:r>
      <w:r>
        <w:rPr>
          <w:rFonts w:hint="eastAsia" w:ascii="仿宋_GB2312" w:eastAsia="仿宋_GB2312"/>
          <w:sz w:val="28"/>
          <w:szCs w:val="28"/>
        </w:rPr>
        <w:t>开支的离退休经费。</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w:t>
      </w:r>
      <w:r>
        <w:rPr>
          <w:rFonts w:hint="eastAsia" w:ascii="仿宋_GB2312" w:eastAsia="仿宋_GB2312"/>
          <w:sz w:val="28"/>
          <w:szCs w:val="28"/>
        </w:rPr>
        <w:t>（项）：反映</w:t>
      </w:r>
      <w:r>
        <w:rPr>
          <w:rFonts w:hint="eastAsia" w:ascii="仿宋_GB2312" w:eastAsia="仿宋_GB2312"/>
          <w:sz w:val="28"/>
          <w:szCs w:val="28"/>
          <w:lang w:eastAsia="zh-CN"/>
        </w:rPr>
        <w:t>机关事业单位实施养老保险制度由单位缴纳的基本养老保险费支出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w:t>
      </w:r>
      <w:r>
        <w:rPr>
          <w:rFonts w:hint="eastAsia" w:ascii="仿宋_GB2312" w:eastAsia="仿宋_GB2312"/>
          <w:sz w:val="28"/>
          <w:szCs w:val="28"/>
        </w:rPr>
        <w:t>（项）：反映</w:t>
      </w:r>
      <w:r>
        <w:rPr>
          <w:rFonts w:hint="eastAsia" w:ascii="仿宋_GB2312" w:eastAsia="仿宋_GB2312"/>
          <w:sz w:val="28"/>
          <w:szCs w:val="28"/>
          <w:lang w:eastAsia="zh-CN"/>
        </w:rPr>
        <w:t>机关事业单位实施养老保险制度由单位实际缴纳的职业年金支出（含职业年金补记支出）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lang w:eastAsia="zh-CN"/>
        </w:rPr>
        <w:t>卫生健康支出</w:t>
      </w:r>
      <w:r>
        <w:rPr>
          <w:rFonts w:hint="eastAsia" w:ascii="仿宋_GB2312" w:eastAsia="仿宋_GB2312"/>
          <w:sz w:val="28"/>
          <w:szCs w:val="28"/>
        </w:rPr>
        <w:t>（类）行政事业单位</w:t>
      </w:r>
      <w:r>
        <w:rPr>
          <w:rFonts w:hint="eastAsia" w:ascii="仿宋_GB2312" w:eastAsia="仿宋_GB2312"/>
          <w:sz w:val="28"/>
          <w:szCs w:val="28"/>
          <w:lang w:eastAsia="zh-CN"/>
        </w:rPr>
        <w:t>医疗</w:t>
      </w:r>
      <w:r>
        <w:rPr>
          <w:rFonts w:hint="eastAsia" w:ascii="仿宋_GB2312" w:eastAsia="仿宋_GB2312"/>
          <w:sz w:val="28"/>
          <w:szCs w:val="28"/>
        </w:rPr>
        <w:t>（款）</w:t>
      </w:r>
      <w:r>
        <w:rPr>
          <w:rFonts w:hint="eastAsia" w:ascii="仿宋_GB2312" w:eastAsia="仿宋_GB2312"/>
          <w:sz w:val="28"/>
          <w:szCs w:val="28"/>
          <w:lang w:eastAsia="zh-CN"/>
        </w:rPr>
        <w:t>事业单位医疗</w:t>
      </w:r>
      <w:r>
        <w:rPr>
          <w:rFonts w:hint="eastAsia" w:ascii="仿宋_GB2312" w:eastAsia="仿宋_GB2312"/>
          <w:sz w:val="28"/>
          <w:szCs w:val="28"/>
        </w:rPr>
        <w:t>（项）：反映</w:t>
      </w:r>
      <w:r>
        <w:rPr>
          <w:rFonts w:hint="eastAsia" w:ascii="仿宋_GB2312" w:eastAsia="仿宋_GB2312"/>
          <w:sz w:val="28"/>
          <w:szCs w:val="28"/>
          <w:lang w:eastAsia="zh-CN"/>
        </w:rPr>
        <w:t>财政部门安排的事业单位基本医疗保险缴费经费，未参加医疗保险的事业单位的公费医疗经费，按国家规定享受离休人员待遇的医疗经费</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jc w:val="both"/>
        <w:textAlignment w:val="auto"/>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lang w:eastAsia="zh-CN"/>
        </w:rPr>
        <w:t>卫生健康支出</w:t>
      </w:r>
      <w:r>
        <w:rPr>
          <w:rFonts w:hint="eastAsia" w:ascii="仿宋_GB2312" w:eastAsia="仿宋_GB2312"/>
          <w:sz w:val="28"/>
          <w:szCs w:val="28"/>
        </w:rPr>
        <w:t>（类）行政事业单位</w:t>
      </w:r>
      <w:r>
        <w:rPr>
          <w:rFonts w:hint="eastAsia" w:ascii="仿宋_GB2312" w:eastAsia="仿宋_GB2312"/>
          <w:sz w:val="28"/>
          <w:szCs w:val="28"/>
          <w:lang w:eastAsia="zh-CN"/>
        </w:rPr>
        <w:t>医疗</w:t>
      </w:r>
      <w:r>
        <w:rPr>
          <w:rFonts w:hint="eastAsia" w:ascii="仿宋_GB2312" w:eastAsia="仿宋_GB2312"/>
          <w:sz w:val="28"/>
          <w:szCs w:val="28"/>
        </w:rPr>
        <w:t>（款）</w:t>
      </w:r>
      <w:r>
        <w:rPr>
          <w:rFonts w:hint="eastAsia" w:ascii="仿宋_GB2312" w:eastAsia="仿宋_GB2312"/>
          <w:sz w:val="28"/>
          <w:szCs w:val="28"/>
          <w:lang w:eastAsia="zh-CN"/>
        </w:rPr>
        <w:t>公务员医疗补助</w:t>
      </w:r>
      <w:r>
        <w:rPr>
          <w:rFonts w:hint="eastAsia" w:ascii="仿宋_GB2312" w:eastAsia="仿宋_GB2312"/>
          <w:sz w:val="28"/>
          <w:szCs w:val="28"/>
        </w:rPr>
        <w:t>（项）：反映</w:t>
      </w:r>
      <w:r>
        <w:rPr>
          <w:rFonts w:hint="eastAsia" w:ascii="仿宋_GB2312" w:eastAsia="仿宋_GB2312"/>
          <w:sz w:val="28"/>
          <w:szCs w:val="28"/>
          <w:lang w:eastAsia="zh-CN"/>
        </w:rPr>
        <w:t>财政部门安排的公务员医疗补助经费</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jc w:val="both"/>
        <w:textAlignment w:val="auto"/>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p>
    <w:p>
      <w:pPr>
        <w:numPr>
          <w:ilvl w:val="0"/>
          <w:numId w:val="0"/>
        </w:num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本单位2024年无项目支出，未开展项目绩效评价。</w:t>
      </w:r>
    </w:p>
    <w:p>
      <w:pPr>
        <w:spacing w:line="480" w:lineRule="exact"/>
        <w:rPr>
          <w:rFonts w:hint="default" w:eastAsia="宋体"/>
          <w:lang w:val="en-US" w:eastAsia="zh-CN"/>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微软雅黑"/>
    <w:panose1 w:val="02010609060101010101"/>
    <w:charset w:val="86"/>
    <w:family w:val="modern"/>
    <w:pitch w:val="default"/>
    <w:sig w:usb0="00000000" w:usb1="00000000"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BC1F91E"/>
    <w:rsid w:val="1DEF20B0"/>
    <w:rsid w:val="1FF7AB17"/>
    <w:rsid w:val="1FFF9B00"/>
    <w:rsid w:val="214243FA"/>
    <w:rsid w:val="21AD613C"/>
    <w:rsid w:val="22467189"/>
    <w:rsid w:val="257A14F5"/>
    <w:rsid w:val="27196C26"/>
    <w:rsid w:val="276FC62E"/>
    <w:rsid w:val="29EF086F"/>
    <w:rsid w:val="2BC34C59"/>
    <w:rsid w:val="2EFFE297"/>
    <w:rsid w:val="2FBFC09B"/>
    <w:rsid w:val="2FFC1842"/>
    <w:rsid w:val="301437CA"/>
    <w:rsid w:val="33BF51D1"/>
    <w:rsid w:val="349D1F0A"/>
    <w:rsid w:val="34DD0473"/>
    <w:rsid w:val="39BF8FCD"/>
    <w:rsid w:val="39FF8E08"/>
    <w:rsid w:val="3A8E35DC"/>
    <w:rsid w:val="3C684897"/>
    <w:rsid w:val="3F5FBDBD"/>
    <w:rsid w:val="433E495C"/>
    <w:rsid w:val="47C3C0EE"/>
    <w:rsid w:val="489F2FD7"/>
    <w:rsid w:val="4AC27CB3"/>
    <w:rsid w:val="4BF72BEF"/>
    <w:rsid w:val="4EEBC498"/>
    <w:rsid w:val="4FA90297"/>
    <w:rsid w:val="4FC41A43"/>
    <w:rsid w:val="51DB3C59"/>
    <w:rsid w:val="54CA7BA7"/>
    <w:rsid w:val="550C0952"/>
    <w:rsid w:val="55762E42"/>
    <w:rsid w:val="579F8F53"/>
    <w:rsid w:val="57A7B272"/>
    <w:rsid w:val="58470068"/>
    <w:rsid w:val="58747CAC"/>
    <w:rsid w:val="5A1720F9"/>
    <w:rsid w:val="5B9C37C2"/>
    <w:rsid w:val="5BA7C654"/>
    <w:rsid w:val="5D571515"/>
    <w:rsid w:val="5DF716AE"/>
    <w:rsid w:val="5F9F507E"/>
    <w:rsid w:val="5FF7FB19"/>
    <w:rsid w:val="60A54109"/>
    <w:rsid w:val="61D01CDF"/>
    <w:rsid w:val="63D7893F"/>
    <w:rsid w:val="64C0607C"/>
    <w:rsid w:val="65756C86"/>
    <w:rsid w:val="674D385B"/>
    <w:rsid w:val="676F09E1"/>
    <w:rsid w:val="69D8F31E"/>
    <w:rsid w:val="6CFDAFB6"/>
    <w:rsid w:val="6F7D192B"/>
    <w:rsid w:val="6F9E9680"/>
    <w:rsid w:val="71691990"/>
    <w:rsid w:val="71793A80"/>
    <w:rsid w:val="7357290B"/>
    <w:rsid w:val="756E3DEA"/>
    <w:rsid w:val="76E3F538"/>
    <w:rsid w:val="76FB1693"/>
    <w:rsid w:val="77B74860"/>
    <w:rsid w:val="798524E4"/>
    <w:rsid w:val="7A7F1C49"/>
    <w:rsid w:val="7B5B7AE6"/>
    <w:rsid w:val="7B7B6628"/>
    <w:rsid w:val="7B7F15A8"/>
    <w:rsid w:val="7BA7071E"/>
    <w:rsid w:val="7BDB4102"/>
    <w:rsid w:val="7BDF6DA8"/>
    <w:rsid w:val="7BEF6258"/>
    <w:rsid w:val="7C7EDC1A"/>
    <w:rsid w:val="7CCED98D"/>
    <w:rsid w:val="7D08410F"/>
    <w:rsid w:val="7DB96DED"/>
    <w:rsid w:val="7DBF646D"/>
    <w:rsid w:val="7DD3AD81"/>
    <w:rsid w:val="7DF6E202"/>
    <w:rsid w:val="7DFFF77E"/>
    <w:rsid w:val="7EB38C47"/>
    <w:rsid w:val="7EDFF72C"/>
    <w:rsid w:val="7EFA4DB4"/>
    <w:rsid w:val="7F1BB6C2"/>
    <w:rsid w:val="7F53A862"/>
    <w:rsid w:val="7F7FB85E"/>
    <w:rsid w:val="7F7FE70F"/>
    <w:rsid w:val="7FDF365A"/>
    <w:rsid w:val="7FEC8BC6"/>
    <w:rsid w:val="7FFF772F"/>
    <w:rsid w:val="95F35EF6"/>
    <w:rsid w:val="9B6BA2E4"/>
    <w:rsid w:val="9BFFD860"/>
    <w:rsid w:val="A77B4E4D"/>
    <w:rsid w:val="A7F61862"/>
    <w:rsid w:val="AC5F73DE"/>
    <w:rsid w:val="AFF39C19"/>
    <w:rsid w:val="B5DDD2C8"/>
    <w:rsid w:val="B6FF392B"/>
    <w:rsid w:val="B7EB22A8"/>
    <w:rsid w:val="B9DFABD9"/>
    <w:rsid w:val="B9F73B17"/>
    <w:rsid w:val="BC0D83FC"/>
    <w:rsid w:val="BE9C0498"/>
    <w:rsid w:val="BF3BDEFB"/>
    <w:rsid w:val="BFB7A454"/>
    <w:rsid w:val="BFBF700F"/>
    <w:rsid w:val="C5F72705"/>
    <w:rsid w:val="C75F6086"/>
    <w:rsid w:val="C7F7ED2D"/>
    <w:rsid w:val="CFAF854E"/>
    <w:rsid w:val="D7FBB3C4"/>
    <w:rsid w:val="D8D7928E"/>
    <w:rsid w:val="D8FE3136"/>
    <w:rsid w:val="DDDE60B7"/>
    <w:rsid w:val="DDDF983A"/>
    <w:rsid w:val="DE5E78B5"/>
    <w:rsid w:val="DE5F15D8"/>
    <w:rsid w:val="DE9F6A22"/>
    <w:rsid w:val="DF4FCE6A"/>
    <w:rsid w:val="DF7E3AE0"/>
    <w:rsid w:val="DF931A11"/>
    <w:rsid w:val="DFD6CE7C"/>
    <w:rsid w:val="DFDBB21B"/>
    <w:rsid w:val="DFE61B6D"/>
    <w:rsid w:val="DFE93440"/>
    <w:rsid w:val="DFEF5C84"/>
    <w:rsid w:val="E4FED278"/>
    <w:rsid w:val="E6CB4B3E"/>
    <w:rsid w:val="E97F001B"/>
    <w:rsid w:val="EDAA365C"/>
    <w:rsid w:val="EDADFC12"/>
    <w:rsid w:val="EDDF26ED"/>
    <w:rsid w:val="EE8FFE61"/>
    <w:rsid w:val="F1EB87A5"/>
    <w:rsid w:val="F2FD229B"/>
    <w:rsid w:val="F5FF9DFE"/>
    <w:rsid w:val="F65F79E2"/>
    <w:rsid w:val="F73F5789"/>
    <w:rsid w:val="F776A00A"/>
    <w:rsid w:val="F7F709E9"/>
    <w:rsid w:val="F7FF3690"/>
    <w:rsid w:val="F9BD3900"/>
    <w:rsid w:val="FABFF6B8"/>
    <w:rsid w:val="FBF76749"/>
    <w:rsid w:val="FC8B9876"/>
    <w:rsid w:val="FCBFBAB5"/>
    <w:rsid w:val="FDDBE6D9"/>
    <w:rsid w:val="FDFD1948"/>
    <w:rsid w:val="FEDFF218"/>
    <w:rsid w:val="FEDFFFFF"/>
    <w:rsid w:val="FEFE40F3"/>
    <w:rsid w:val="FF7FD419"/>
    <w:rsid w:val="FFBF5206"/>
    <w:rsid w:val="FFBF8D1D"/>
    <w:rsid w:val="FFE27B22"/>
    <w:rsid w:val="FFEF93C2"/>
    <w:rsid w:val="FFF7A0F1"/>
    <w:rsid w:val="FFFFC8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600" b="1" i="0" u="none" strike="noStrike" kern="1200" baseline="0">
                <a:solidFill>
                  <a:schemeClr val="tx1">
                    <a:lumMod val="65000"/>
                    <a:lumOff val="35000"/>
                  </a:schemeClr>
                </a:solidFill>
                <a:latin typeface="+mn-lt"/>
                <a:ea typeface="+mn-ea"/>
                <a:cs typeface="+mn-cs"/>
              </a:defRPr>
            </a:pPr>
            <a:r>
              <a:rPr sz="1000"/>
              <a:t>收入决算</a:t>
            </a:r>
            <a:endParaRPr sz="1000"/>
          </a:p>
        </c:rich>
      </c:tx>
      <c:layout/>
      <c:overlay val="false"/>
      <c:spPr>
        <a:noFill/>
        <a:ln>
          <a:noFill/>
        </a:ln>
        <a:effectLst/>
      </c:spPr>
    </c:title>
    <c:autoTitleDeleted val="false"/>
    <c:plotArea>
      <c:layout/>
      <c:pieChart>
        <c:varyColors val="true"/>
        <c:ser>
          <c:idx val="0"/>
          <c:order val="0"/>
          <c:tx>
            <c:strRef>
              <c:f>Sheet1!$B$1</c:f>
              <c:strCache>
                <c:ptCount val="1"/>
                <c:pt idx="0">
                  <c:v>收入决算</c:v>
                </c:pt>
              </c:strCache>
            </c:strRef>
          </c:tx>
          <c:spPr/>
          <c:explosion val="0"/>
          <c:dPt>
            <c:idx val="0"/>
            <c:bubble3D val="false"/>
            <c:spPr>
              <a:gradFill rotWithShape="true">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false"/>
              </a:gradFill>
              <a:ln>
                <a:noFill/>
              </a:ln>
              <a:effectLst>
                <a:outerShdw blurRad="40000" dist="23000" dir="5400000" rotWithShape="0">
                  <a:srgbClr val="000000">
                    <a:alpha val="35000"/>
                  </a:srgbClr>
                </a:outerShdw>
              </a:effectLst>
            </c:spPr>
          </c:dPt>
          <c:dLbls>
            <c:dLbl>
              <c:idx val="0"/>
              <c:layout/>
              <c:tx>
                <c:rich>
                  <a:bodyPr rot="0" spcFirstLastPara="0" vertOverflow="ellipsis" vert="horz" wrap="square" lIns="38100" tIns="19050" rIns="38100" bIns="19050" anchor="ctr" anchorCtr="true"/>
                  <a:lstStyle/>
                  <a:p>
                    <a:pPr defTabSz="914400">
                      <a:defRPr lang="zh-CN" sz="900" b="0" i="0" u="none" strike="noStrike" kern="1200" baseline="0">
                        <a:solidFill>
                          <a:schemeClr val="tx1">
                            <a:lumMod val="75000"/>
                            <a:lumOff val="25000"/>
                          </a:schemeClr>
                        </a:solidFill>
                        <a:latin typeface="+mn-lt"/>
                        <a:ea typeface="+mn-ea"/>
                        <a:cs typeface="+mn-cs"/>
                      </a:defRPr>
                    </a:pPr>
                    <a:r>
                      <a:t>100%</a:t>
                    </a:r>
                  </a:p>
                </c:rich>
              </c:tx>
              <c:dLblPos val="inEnd"/>
              <c:showLegendKey val="false"/>
              <c:showVal val="false"/>
              <c:showCatName val="true"/>
              <c:showSerName val="false"/>
              <c:showPercent val="true"/>
              <c:showBubbleSize val="false"/>
              <c:separator>
</c:separator>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false"/>
            <c:showCatName val="tru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c:f>
              <c:strCache>
                <c:ptCount val="1"/>
                <c:pt idx="0">
                  <c:v>财政拨款收入</c:v>
                </c:pt>
              </c:strCache>
            </c:strRef>
          </c:cat>
          <c:val>
            <c:numRef>
              <c:f>Sheet1!$B$2</c:f>
              <c:numCache>
                <c:formatCode>0%</c:formatCode>
                <c:ptCount val="1"/>
                <c:pt idx="0">
                  <c:v>1</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ayout>
        <c:manualLayout>
          <c:xMode val="edge"/>
          <c:yMode val="edge"/>
          <c:x val="0.739415749364945"/>
          <c:y val="0.290135396518375"/>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100" b="1" i="0" u="none" strike="noStrike" kern="1200" cap="all" spc="50" baseline="0">
                <a:solidFill>
                  <a:schemeClr val="tx1">
                    <a:lumMod val="65000"/>
                    <a:lumOff val="35000"/>
                  </a:schemeClr>
                </a:solidFill>
                <a:latin typeface="+mn-lt"/>
                <a:ea typeface="+mn-ea"/>
                <a:cs typeface="+mn-cs"/>
              </a:defRPr>
            </a:pPr>
            <a:r>
              <a:rPr sz="1100" b="0"/>
              <a:t>支出决算</a:t>
            </a:r>
            <a:endParaRPr sz="1100" b="0"/>
          </a:p>
        </c:rich>
      </c:tx>
      <c:layout/>
      <c:overlay val="false"/>
      <c:spPr>
        <a:noFill/>
        <a:ln>
          <a:noFill/>
        </a:ln>
        <a:effectLst/>
      </c:spPr>
    </c:title>
    <c:autoTitleDeleted val="false"/>
    <c:plotArea>
      <c:layout/>
      <c:pieChart>
        <c:varyColors val="true"/>
        <c:ser>
          <c:idx val="0"/>
          <c:order val="0"/>
          <c:tx>
            <c:strRef>
              <c:f>Sheet1!$B$1</c:f>
              <c:strCache>
                <c:ptCount val="1"/>
                <c:pt idx="0">
                  <c:v>支出决算</c:v>
                </c:pt>
              </c:strCache>
            </c:strRef>
          </c:tx>
          <c:spPr/>
          <c:explosion val="0"/>
          <c:dPt>
            <c:idx val="0"/>
            <c:bubble3D val="false"/>
            <c:spPr>
              <a:solidFill>
                <a:schemeClr val="accent1"/>
              </a:solidFill>
              <a:ln>
                <a:noFill/>
              </a:ln>
              <a:effectLst/>
            </c:spPr>
          </c:dPt>
          <c:dLbls>
            <c:dLbl>
              <c:idx val="0"/>
              <c:layout/>
              <c:tx>
                <c:rich>
                  <a:bodyPr rot="0" spcFirstLastPara="0" vertOverflow="ellipsis" vert="horz" wrap="square" lIns="38100" tIns="19050" rIns="38100" bIns="19050" anchor="ctr" anchorCtr="true"/>
                  <a:lstStyle/>
                  <a:p>
                    <a:pPr defTabSz="914400">
                      <a:defRPr lang="zh-CN" sz="900" b="1" i="0" u="none" strike="noStrike" kern="1200" baseline="0">
                        <a:solidFill>
                          <a:schemeClr val="tx1"/>
                        </a:solidFill>
                        <a:latin typeface="+mn-lt"/>
                        <a:ea typeface="+mn-ea"/>
                        <a:cs typeface="+mn-cs"/>
                      </a:defRPr>
                    </a:pPr>
                    <a:r>
                      <a:rPr b="0">
                        <a:solidFill>
                          <a:schemeClr val="tx1"/>
                        </a:solidFill>
                      </a:rPr>
                      <a:t>100%</a:t>
                    </a:r>
                    <a:endParaRPr b="0">
                      <a:solidFill>
                        <a:schemeClr val="tx1"/>
                      </a:solidFill>
                    </a:endParaRPr>
                  </a:p>
                </c:rich>
              </c:tx>
              <c:dLblPos val="inEnd"/>
              <c:showLegendKey val="false"/>
              <c:showVal val="false"/>
              <c:showCatName val="false"/>
              <c:showSerName val="false"/>
              <c:showPercent val="true"/>
              <c:showBubbleSize val="false"/>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true"/>
              <a:lstStyle/>
              <a:p>
                <a:pPr>
                  <a:defRPr lang="zh-CN" sz="900" b="1" i="0" u="none" strike="noStrike" kern="1200" baseline="0">
                    <a:solidFill>
                      <a:schemeClr val="tx1"/>
                    </a:solidFill>
                    <a:latin typeface="+mn-lt"/>
                    <a:ea typeface="+mn-ea"/>
                    <a:cs typeface="+mn-cs"/>
                  </a:defRPr>
                </a:pPr>
              </a:p>
            </c:txPr>
            <c:dLblPos val="in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c:f>
              <c:strCache>
                <c:ptCount val="1"/>
                <c:pt idx="0">
                  <c:v>基本支出</c:v>
                </c:pt>
              </c:strCache>
            </c:strRef>
          </c:cat>
          <c:val>
            <c:numRef>
              <c:f>Sheet1!$B$2</c:f>
              <c:numCache>
                <c:formatCode>0%</c:formatCode>
                <c:ptCount val="1"/>
                <c:pt idx="0">
                  <c:v>1</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t"/>
      <c:layout>
        <c:manualLayout>
          <c:xMode val="edge"/>
          <c:yMode val="edge"/>
          <c:x val="0.8135"/>
          <c:y val="0.319166666666667"/>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1</TotalTime>
  <ScaleCrop>false</ScaleCrop>
  <LinksUpToDate>false</LinksUpToDate>
  <CharactersWithSpaces>298</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2017-07-14T15:16:00Z</dcterms:created>
  <dc:creator>常程</dc:creator>
  <cp:lastModifiedBy>user</cp:lastModifiedBy>
  <cp:lastPrinted>2020-08-10T11:39:00Z</cp:lastPrinted>
  <dcterms:modified xsi:type="dcterms:W3CDTF">2025-09-25T08:57:44Z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